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EDD15" w14:textId="77777777" w:rsidR="00817188" w:rsidRPr="003C7872" w:rsidRDefault="00817188">
      <w:pPr>
        <w:rPr>
          <w:rFonts w:cstheme="minorHAnsi"/>
          <w:b/>
          <w:color w:val="215868"/>
          <w:sz w:val="32"/>
          <w:szCs w:val="32"/>
          <w:lang w:val="en-US"/>
        </w:rPr>
      </w:pPr>
      <w:r w:rsidRPr="003C7872">
        <w:rPr>
          <w:rFonts w:cstheme="minorHAnsi"/>
          <w:b/>
          <w:color w:val="215868"/>
          <w:sz w:val="32"/>
          <w:szCs w:val="32"/>
          <w:lang w:val="en-US"/>
        </w:rPr>
        <w:t>UNCHAIN</w:t>
      </w:r>
      <w:r w:rsidR="00B043B9" w:rsidRPr="003C7872">
        <w:rPr>
          <w:rFonts w:cstheme="minorHAnsi"/>
          <w:b/>
          <w:color w:val="215868"/>
          <w:sz w:val="32"/>
          <w:szCs w:val="32"/>
          <w:lang w:val="en-US"/>
        </w:rPr>
        <w:t xml:space="preserve"> </w:t>
      </w:r>
      <w:r w:rsidRPr="003C7872">
        <w:rPr>
          <w:rFonts w:cstheme="minorHAnsi"/>
          <w:b/>
          <w:color w:val="215868"/>
          <w:sz w:val="32"/>
          <w:szCs w:val="32"/>
          <w:lang w:val="en-US"/>
        </w:rPr>
        <w:t>–</w:t>
      </w:r>
      <w:r w:rsidR="00B043B9" w:rsidRPr="003C7872">
        <w:rPr>
          <w:rFonts w:cstheme="minorHAnsi"/>
          <w:b/>
          <w:color w:val="215868"/>
          <w:sz w:val="32"/>
          <w:szCs w:val="32"/>
          <w:lang w:val="en-US"/>
        </w:rPr>
        <w:t xml:space="preserve"> </w:t>
      </w:r>
      <w:r w:rsidRPr="003C7872">
        <w:rPr>
          <w:rFonts w:cstheme="minorHAnsi"/>
          <w:b/>
          <w:color w:val="215868"/>
          <w:sz w:val="32"/>
          <w:szCs w:val="32"/>
          <w:lang w:val="en-US"/>
        </w:rPr>
        <w:t>Unpacking climate Impact Chains</w:t>
      </w:r>
    </w:p>
    <w:p w14:paraId="73142DDE" w14:textId="77777777" w:rsidR="00DF3615" w:rsidRDefault="005B5945">
      <w:pPr>
        <w:rPr>
          <w:rFonts w:cstheme="minorHAnsi"/>
          <w:b/>
          <w:color w:val="31849B"/>
          <w:sz w:val="26"/>
          <w:szCs w:val="26"/>
          <w:lang w:val="en-US"/>
        </w:rPr>
      </w:pPr>
      <w:r w:rsidRPr="003C7872">
        <w:rPr>
          <w:rFonts w:cstheme="minorHAnsi"/>
          <w:b/>
          <w:color w:val="31849B"/>
          <w:sz w:val="26"/>
          <w:szCs w:val="26"/>
          <w:lang w:val="en-US"/>
        </w:rPr>
        <w:t>Publications</w:t>
      </w:r>
    </w:p>
    <w:p w14:paraId="6830832D" w14:textId="77777777" w:rsidR="00B043B9" w:rsidRPr="000C0227" w:rsidRDefault="00817188">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Karin André, Åsa Gerger Swartling, Mathilda Englund, Linda Petutschnig, Emmanuel M. N. A. N. Attoh, Katharina Milde, Daniel Lückerath, Adeline Cauchy, Tara Botnen Holm, Mari Hanssen Korsbrekke, Muriel Bour, &amp; Erich Rome. (2023). Improving stakeholder engagement in climate change risk assessments: insights from six co-production initiatives in Europe. Frontiers in Climate, 5. </w:t>
      </w:r>
      <w:hyperlink r:id="rId6" w:history="1">
        <w:r w:rsidRPr="000C0227">
          <w:rPr>
            <w:rStyle w:val="Hyperlink"/>
            <w:rFonts w:cstheme="minorHAnsi"/>
            <w:color w:val="auto"/>
            <w:u w:val="none"/>
            <w:bdr w:val="none" w:sz="0" w:space="0" w:color="auto" w:frame="1"/>
            <w:lang w:val="en-US"/>
          </w:rPr>
          <w:t>https://doi.org/10.3389/fclim.2023.1120421</w:t>
        </w:r>
      </w:hyperlink>
    </w:p>
    <w:p w14:paraId="282533FC" w14:textId="77777777" w:rsidR="00817188" w:rsidRPr="000C0227" w:rsidRDefault="00817188" w:rsidP="00817188">
      <w:pPr>
        <w:tabs>
          <w:tab w:val="left" w:pos="3261"/>
        </w:tabs>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Mathilda Englund, Marlon Vieira Passos, Karin André, Åsa Gerger Swartling, Lisa Segnestam, &amp; Karina Barquet. (2023). Constructing a social vulnerability index for flooding: insights from a municipality in Sweden. Frontiers in Climate, 5(1038883). </w:t>
      </w:r>
      <w:hyperlink r:id="rId7" w:history="1">
        <w:r w:rsidRPr="000C0227">
          <w:rPr>
            <w:rStyle w:val="Hyperlink"/>
            <w:rFonts w:cstheme="minorHAnsi"/>
            <w:color w:val="auto"/>
            <w:u w:val="none"/>
            <w:bdr w:val="none" w:sz="0" w:space="0" w:color="auto" w:frame="1"/>
            <w:lang w:val="en-US"/>
          </w:rPr>
          <w:t>https://doi.org/10.3389/fclim.2023.1038883</w:t>
        </w:r>
      </w:hyperlink>
    </w:p>
    <w:p w14:paraId="36480DD5" w14:textId="77777777" w:rsidR="00817188" w:rsidRPr="000C0227" w:rsidRDefault="00817188" w:rsidP="00817188">
      <w:pPr>
        <w:tabs>
          <w:tab w:val="left" w:pos="3261"/>
        </w:tabs>
        <w:rPr>
          <w:rStyle w:val="Hyperlink"/>
          <w:rFonts w:cstheme="minorHAnsi"/>
          <w:color w:val="auto"/>
          <w:u w:val="none"/>
          <w:bdr w:val="none" w:sz="0" w:space="0" w:color="auto" w:frame="1"/>
        </w:rPr>
      </w:pPr>
      <w:r w:rsidRPr="00E03C6E">
        <w:rPr>
          <w:rFonts w:ascii="Calibri" w:eastAsia="Calibri" w:hAnsi="Calibri" w:cs="Calibri"/>
          <w:szCs w:val="24"/>
          <w:lang w:val="en-US"/>
        </w:rPr>
        <w:t xml:space="preserve">Åsa Gerger Swartling, Karin André, Mathilda Englund, Katy Harris, Carlo Aall, Linda Petutschnig, Erich Rome, Julie Gobert, Saskia Reuschel, Gabriel Jordá, Daniel Lückerath, Katarina Milde, Stefan Kienberger, Brigt Dale, Adeline Cauchy, Florence Rudolf, Emmanuel M. N. A. N. Attoh, Magnus Benzie, Frida Lager, &amp; Karina Barquet. (2023). Towards improved adaptation action in Europe: policy recommendations from the UNCHAIN project. Stockholm Environment Institute. </w:t>
      </w:r>
      <w:hyperlink r:id="rId8" w:history="1">
        <w:r w:rsidRPr="000C0227">
          <w:rPr>
            <w:rStyle w:val="Hyperlink"/>
            <w:rFonts w:cstheme="minorHAnsi"/>
            <w:color w:val="auto"/>
            <w:u w:val="none"/>
            <w:bdr w:val="none" w:sz="0" w:space="0" w:color="auto" w:frame="1"/>
            <w:lang w:val="en-US"/>
          </w:rPr>
          <w:t>https://doi.org/10.51414/sei2023.035</w:t>
        </w:r>
      </w:hyperlink>
    </w:p>
    <w:p w14:paraId="05478291" w14:textId="77777777" w:rsidR="00817188" w:rsidRPr="000C0227" w:rsidRDefault="00817188" w:rsidP="00817188">
      <w:pPr>
        <w:tabs>
          <w:tab w:val="left" w:pos="3261"/>
        </w:tabs>
        <w:rPr>
          <w:rStyle w:val="Hyperlink"/>
          <w:rFonts w:cstheme="minorHAnsi"/>
          <w:color w:val="auto"/>
          <w:u w:val="none"/>
          <w:bdr w:val="none" w:sz="0" w:space="0" w:color="auto" w:frame="1"/>
          <w:lang w:val="en-US"/>
        </w:rPr>
      </w:pPr>
      <w:r w:rsidRPr="00E03C6E">
        <w:rPr>
          <w:rFonts w:ascii="Calibri" w:eastAsia="Calibri" w:hAnsi="Calibri" w:cs="Calibri"/>
          <w:szCs w:val="24"/>
          <w:lang w:val="en-US"/>
        </w:rPr>
        <w:t>Leitner, M., &amp; Kienberger, S. (2020). Case study n° 5: Agricultural drought in the light of climate change. The case of Austria (Brief internal note)(D3.1.5</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.7656207</w:t>
      </w:r>
    </w:p>
    <w:p w14:paraId="2368B484" w14:textId="77777777" w:rsidR="00817188" w:rsidRPr="000C0227" w:rsidRDefault="00817188">
      <w:pPr>
        <w:rPr>
          <w:rStyle w:val="Hyperlink"/>
          <w:rFonts w:cstheme="minorHAnsi"/>
          <w:color w:val="auto"/>
          <w:u w:val="none"/>
          <w:bdr w:val="none" w:sz="0" w:space="0" w:color="auto" w:frame="1"/>
        </w:rPr>
      </w:pPr>
      <w:r w:rsidRPr="000C0227">
        <w:rPr>
          <w:rFonts w:ascii="Calibri" w:eastAsia="Calibri" w:hAnsi="Calibri" w:cs="Calibri"/>
          <w:szCs w:val="24"/>
        </w:rPr>
        <w:t xml:space="preserve">Brigt Dale. (2023). Factsheet: Case 7: Grenseoverskridende klimarisiko: En studie av oppdrettsbedrifter i Nordland. </w:t>
      </w:r>
      <w:r w:rsidRPr="000C0227">
        <w:rPr>
          <w:rStyle w:val="Hyperlink"/>
          <w:rFonts w:cstheme="minorHAnsi"/>
          <w:color w:val="auto"/>
          <w:u w:val="none"/>
          <w:bdr w:val="none" w:sz="0" w:space="0" w:color="auto" w:frame="1"/>
        </w:rPr>
        <w:t>https://doi.org/10.5281/ .7649032</w:t>
      </w:r>
    </w:p>
    <w:p w14:paraId="02E1FC81" w14:textId="77777777" w:rsidR="00B92530" w:rsidRPr="000C0227" w:rsidRDefault="00B92530">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Brigt Dale. (2023, Februar 17). Securing sustainable food production in Northern Norway under the auspices of climatic changes</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.7649018</w:t>
      </w:r>
    </w:p>
    <w:p w14:paraId="32A09E75" w14:textId="77777777" w:rsidR="00B92530" w:rsidRPr="000C0227" w:rsidRDefault="00B92530">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Jordà Gabriel, Agulles Miguel, &amp; Melo-Aguilar Camilo. (2023). A methodological approach towards probabilistic impact chain analysis (D2.4) (Version 1). </w:t>
      </w:r>
      <w:r w:rsidRPr="000C0227">
        <w:rPr>
          <w:rStyle w:val="Hyperlink"/>
          <w:rFonts w:cstheme="minorHAnsi"/>
          <w:color w:val="auto"/>
          <w:u w:val="none"/>
          <w:bdr w:val="none" w:sz="0" w:space="0" w:color="auto" w:frame="1"/>
          <w:lang w:val="en-US"/>
        </w:rPr>
        <w:t>https://doi.org/10.5281/ .7637372</w:t>
      </w:r>
    </w:p>
    <w:p w14:paraId="56EBADD2" w14:textId="77777777" w:rsidR="00B92530" w:rsidRPr="000C0227" w:rsidRDefault="00B92530">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Meyer, M. (2023). Case study n°4: Quantitative Assessments of Transboundary Climate Risks under altered Socio-economic Scenario Assumptions, Factsheet in the native language (D4.2.4). </w:t>
      </w:r>
      <w:r w:rsidRPr="000C0227">
        <w:rPr>
          <w:rStyle w:val="Hyperlink"/>
          <w:rFonts w:cstheme="minorHAnsi"/>
          <w:color w:val="auto"/>
          <w:u w:val="none"/>
          <w:bdr w:val="none" w:sz="0" w:space="0" w:color="auto" w:frame="1"/>
          <w:lang w:val="en-US"/>
        </w:rPr>
        <w:t>https://doi.org/10.5281/ .7636243</w:t>
      </w:r>
    </w:p>
    <w:p w14:paraId="2A782E6D" w14:textId="77777777" w:rsidR="00B92530" w:rsidRPr="000C0227" w:rsidRDefault="00AD5391">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Markus Flaute, Christian Lutz, &amp; Saskia Reuschel. </w:t>
      </w:r>
      <w:r w:rsidRPr="00E03C6E">
        <w:rPr>
          <w:rFonts w:ascii="Calibri" w:eastAsia="Calibri" w:hAnsi="Calibri" w:cs="Calibri"/>
          <w:szCs w:val="24"/>
          <w:lang w:val="en-US"/>
        </w:rPr>
        <w:t xml:space="preserve">(2023). Case n°2: Economic impacts of climate change and adaptation under different socio-economic developments in Germany (D3.1.2). </w:t>
      </w:r>
      <w:r w:rsidRPr="000C0227">
        <w:rPr>
          <w:rStyle w:val="Hyperlink"/>
          <w:rFonts w:cstheme="minorHAnsi"/>
          <w:color w:val="auto"/>
          <w:u w:val="none"/>
          <w:bdr w:val="none" w:sz="0" w:space="0" w:color="auto" w:frame="1"/>
          <w:lang w:val="en-US"/>
        </w:rPr>
        <w:t>https://doi.org/10.5281/ .7636120</w:t>
      </w:r>
    </w:p>
    <w:p w14:paraId="5F99DCF8" w14:textId="77777777" w:rsidR="00AD5391" w:rsidRPr="000C0227" w:rsidRDefault="00AD5391">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lastRenderedPageBreak/>
        <w:t xml:space="preserve">Saskia Reuschel, &amp; Christian Lutz. (2023). Case n°2: Economic impacts of climate change and adaptation under different socio-economic developments in Germany (D4.2.2). </w:t>
      </w:r>
      <w:r w:rsidRPr="000C0227">
        <w:rPr>
          <w:rStyle w:val="Hyperlink"/>
          <w:rFonts w:cstheme="minorHAnsi"/>
          <w:color w:val="auto"/>
          <w:u w:val="none"/>
          <w:bdr w:val="none" w:sz="0" w:space="0" w:color="auto" w:frame="1"/>
          <w:lang w:val="en-US"/>
        </w:rPr>
        <w:t>https://doi.org/10.5281/ .7636026</w:t>
      </w:r>
    </w:p>
    <w:p w14:paraId="2CBEF9FA" w14:textId="77777777" w:rsidR="00AD5391" w:rsidRPr="000C0227" w:rsidRDefault="00AD5391">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Rome, E., Milde, K., &amp; Lückerath, D. (2023). Case study n° 3: Economic effects of adapting critical infrastructure in the Mannheim metropolitan area (D4.2.3, factsheet in German with an English summary). </w:t>
      </w:r>
      <w:r w:rsidRPr="000C0227">
        <w:rPr>
          <w:rStyle w:val="Hyperlink"/>
          <w:rFonts w:cstheme="minorHAnsi"/>
          <w:color w:val="auto"/>
          <w:u w:val="none"/>
          <w:bdr w:val="none" w:sz="0" w:space="0" w:color="auto" w:frame="1"/>
          <w:lang w:val="en-US"/>
        </w:rPr>
        <w:t>https://doi.org/10.5281/ .7635875</w:t>
      </w:r>
    </w:p>
    <w:p w14:paraId="3588A42B" w14:textId="77777777" w:rsidR="00AD5391" w:rsidRPr="000C0227" w:rsidRDefault="00661D9F">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Kienberger, S., André, K., Gerger Swartling, Å., Lückerath, D., Milde, K., Rome, E., &amp; Zebisch, M. (2021). </w:t>
      </w:r>
      <w:r w:rsidRPr="00E03C6E">
        <w:rPr>
          <w:rFonts w:ascii="Calibri" w:eastAsia="Calibri" w:hAnsi="Calibri" w:cs="Calibri"/>
          <w:szCs w:val="24"/>
          <w:lang w:val="en-US"/>
        </w:rPr>
        <w:t>Criteria list for synthesizing insights gained on the impact chain methodology and for adaptation decision making (D5.1</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.7572689</w:t>
      </w:r>
    </w:p>
    <w:p w14:paraId="560ECFE0" w14:textId="77777777" w:rsidR="00661D9F" w:rsidRPr="000C0227" w:rsidRDefault="00661D9F">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Saskia Reuschel, &amp; Christian Lutz. (2023). Case n°2: Economic impacts of climate change and adaptation under different socio-economic developments in Germany, lessons learned (in German) (D3.4.2</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.7635571</w:t>
      </w:r>
    </w:p>
    <w:p w14:paraId="11499E71" w14:textId="77777777" w:rsidR="00661D9F" w:rsidRPr="00A61885" w:rsidRDefault="00661D9F">
      <w:pPr>
        <w:rPr>
          <w:rStyle w:val="Hyperlink"/>
          <w:rFonts w:cstheme="minorHAnsi"/>
          <w:bdr w:val="none" w:sz="0" w:space="0" w:color="auto" w:frame="1"/>
        </w:rPr>
      </w:pPr>
      <w:r w:rsidRPr="000C0227">
        <w:rPr>
          <w:rFonts w:ascii="Calibri" w:eastAsia="Calibri" w:hAnsi="Calibri" w:cs="Calibri"/>
          <w:szCs w:val="24"/>
        </w:rPr>
        <w:t xml:space="preserve">T. B. Holm, &amp; C. Aall. (2021). Analyse av klimarisiko i Klepp kommune - fokus på fysisk klimarisiko. </w:t>
      </w:r>
      <w:r w:rsidRPr="000C0227">
        <w:rPr>
          <w:rStyle w:val="Hyperlink"/>
          <w:rFonts w:cstheme="minorHAnsi"/>
          <w:color w:val="auto"/>
          <w:u w:val="none"/>
          <w:bdr w:val="none" w:sz="0" w:space="0" w:color="auto" w:frame="1"/>
        </w:rPr>
        <w:t>https://doi.org/10.5281/ .7634792</w:t>
      </w:r>
    </w:p>
    <w:p w14:paraId="50501543" w14:textId="77777777" w:rsidR="00661D9F" w:rsidRPr="000C0227" w:rsidRDefault="00661D9F">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Menk, L., Rome, E., Lückerath, D., Milde, K., Gerger Swartling, Å., Aall, C., Mayer, M., Jordá, G., Gobert, J., Englund, M., André, K., Bour, M., Attoh, E. M. N. A. N., Dale, B., Renner, K., Cauchy, A., Reuschel, S., Rudolf, F., Agulles, M., … </w:t>
      </w:r>
      <w:r w:rsidRPr="00E03C6E">
        <w:rPr>
          <w:rFonts w:ascii="Calibri" w:eastAsia="Calibri" w:hAnsi="Calibri" w:cs="Calibri"/>
          <w:szCs w:val="24"/>
          <w:lang w:val="en-US"/>
        </w:rPr>
        <w:t>Kienberger, S. (2022). Research advancements for Impact Chain based Climate Risk and Vulnerability Assessments (D5.2</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.7634699</w:t>
      </w:r>
    </w:p>
    <w:p w14:paraId="2B4C9EBB" w14:textId="77777777" w:rsidR="00661D9F" w:rsidRPr="000C0227" w:rsidRDefault="00661D9F">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T.B. Holm. (2021). Grenseoverskridande risiko i jordbruket. </w:t>
      </w:r>
      <w:r w:rsidRPr="000C0227">
        <w:rPr>
          <w:rStyle w:val="Hyperlink"/>
          <w:rFonts w:cstheme="minorHAnsi"/>
          <w:color w:val="auto"/>
          <w:u w:val="none"/>
          <w:bdr w:val="none" w:sz="0" w:space="0" w:color="auto" w:frame="1"/>
          <w:lang w:val="en-US"/>
        </w:rPr>
        <w:t>https://doi.org/10.5281/ .7634713</w:t>
      </w:r>
    </w:p>
    <w:p w14:paraId="35723B49" w14:textId="77777777" w:rsidR="00661D9F" w:rsidRPr="000C0227" w:rsidRDefault="00661D9F">
      <w:pPr>
        <w:rPr>
          <w:rStyle w:val="Hyperlink"/>
          <w:rFonts w:cstheme="minorHAnsi"/>
          <w:color w:val="auto"/>
          <w:u w:val="none"/>
          <w:bdr w:val="none" w:sz="0" w:space="0" w:color="auto" w:frame="1"/>
        </w:rPr>
      </w:pPr>
      <w:r w:rsidRPr="00E03C6E">
        <w:rPr>
          <w:rFonts w:ascii="Calibri" w:eastAsia="Calibri" w:hAnsi="Calibri" w:cs="Calibri"/>
          <w:szCs w:val="24"/>
          <w:lang w:val="en-US"/>
        </w:rPr>
        <w:t xml:space="preserve">D. Lückerath, E. Rome, U. Lehr, G. Jordá Sánches, K. André, Å. Gerger Swartling, K. Harris, &amp; C. Aall. (2020). Protocol for case studies (D2.1). </w:t>
      </w:r>
      <w:r w:rsidRPr="000C0227">
        <w:rPr>
          <w:rStyle w:val="Hyperlink"/>
          <w:rFonts w:cstheme="minorHAnsi"/>
          <w:color w:val="auto"/>
          <w:u w:val="none"/>
          <w:bdr w:val="none" w:sz="0" w:space="0" w:color="auto" w:frame="1"/>
        </w:rPr>
        <w:t xml:space="preserve">https://doi.org/10.5281/ .7634693 </w:t>
      </w:r>
    </w:p>
    <w:p w14:paraId="7A5920B4" w14:textId="77777777" w:rsidR="00661D9F" w:rsidRPr="000C0227" w:rsidRDefault="00661D9F">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Menk, L., &amp; Kienberger, S. (2023). Case study n°5: Agricultural drought in the light of climate change. The case of Austria - Evaluation of Outcomes.(factsheet, in German with an English summary)(D4.2.5). </w:t>
      </w:r>
      <w:r w:rsidRPr="000C0227">
        <w:rPr>
          <w:rStyle w:val="Hyperlink"/>
          <w:rFonts w:cstheme="minorHAnsi"/>
          <w:color w:val="auto"/>
          <w:u w:val="none"/>
          <w:bdr w:val="none" w:sz="0" w:space="0" w:color="auto" w:frame="1"/>
          <w:lang w:val="en-US"/>
        </w:rPr>
        <w:t>https://doi.org/10.5281/ .7634510</w:t>
      </w:r>
    </w:p>
    <w:p w14:paraId="48489AA4" w14:textId="77777777" w:rsidR="00661D9F" w:rsidRPr="000C0227" w:rsidRDefault="00661D9F">
      <w:pPr>
        <w:rPr>
          <w:rStyle w:val="Hyperlink"/>
          <w:rFonts w:cstheme="minorHAnsi"/>
          <w:bdr w:val="none" w:sz="0" w:space="0" w:color="auto" w:frame="1"/>
          <w:lang w:val="en-US"/>
        </w:rPr>
      </w:pPr>
      <w:r w:rsidRPr="000C0227">
        <w:rPr>
          <w:rFonts w:ascii="Calibri" w:eastAsia="Calibri" w:hAnsi="Calibri" w:cs="Calibri"/>
          <w:szCs w:val="24"/>
        </w:rPr>
        <w:t xml:space="preserve">Menk, L., Kienberger, S., Terzi, S., Zebisch, M., Renner Kathrin, Leitner, M., &amp; Offenzeller, M. (2020). </w:t>
      </w:r>
      <w:r w:rsidRPr="00E03C6E">
        <w:rPr>
          <w:rFonts w:ascii="Calibri" w:eastAsia="Calibri" w:hAnsi="Calibri" w:cs="Calibri"/>
          <w:szCs w:val="24"/>
          <w:lang w:val="en-US"/>
        </w:rPr>
        <w:t xml:space="preserve">Case study n°5: Agricultural drought in the light of climate change. The case of Austria - Lessons learned. (english, long version)(D3.4.5). </w:t>
      </w:r>
      <w:r w:rsidRPr="000C0227">
        <w:rPr>
          <w:rStyle w:val="Hyperlink"/>
          <w:rFonts w:cstheme="minorHAnsi"/>
          <w:color w:val="auto"/>
          <w:u w:val="none"/>
          <w:bdr w:val="none" w:sz="0" w:space="0" w:color="auto" w:frame="1"/>
          <w:lang w:val="en-US"/>
        </w:rPr>
        <w:t>https://doi.org/10.5281/ .7634483</w:t>
      </w:r>
    </w:p>
    <w:p w14:paraId="24616C28" w14:textId="77777777" w:rsidR="00661D9F" w:rsidRPr="000C0227" w:rsidRDefault="00661D9F">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Melo-Aguilar Camilo, Agulles Miguel, &amp; Jordà Gabriel. (2022). Introducing uncertainties in composite indicators. The case of the Impact Chain risk assessment framework. </w:t>
      </w:r>
      <w:hyperlink r:id="rId9" w:history="1">
        <w:r w:rsidRPr="000C0227">
          <w:rPr>
            <w:rStyle w:val="Hyperlink"/>
            <w:rFonts w:cstheme="minorHAnsi"/>
            <w:color w:val="auto"/>
            <w:u w:val="none"/>
            <w:bdr w:val="none" w:sz="0" w:space="0" w:color="auto" w:frame="1"/>
            <w:lang w:val="en-US"/>
          </w:rPr>
          <w:t>https://doi.org/10.3389/fclim.2022.1019888</w:t>
        </w:r>
      </w:hyperlink>
    </w:p>
    <w:p w14:paraId="487F078F" w14:textId="77777777" w:rsidR="00661D9F" w:rsidRPr="000C0227" w:rsidRDefault="00661D9F">
      <w:pPr>
        <w:rPr>
          <w:rStyle w:val="Hyperlink"/>
          <w:rFonts w:cstheme="minorHAnsi"/>
          <w:bdr w:val="none" w:sz="0" w:space="0" w:color="auto" w:frame="1"/>
          <w:lang w:val="en-US"/>
        </w:rPr>
      </w:pPr>
      <w:r w:rsidRPr="00E03C6E">
        <w:rPr>
          <w:rFonts w:ascii="Calibri" w:eastAsia="Calibri" w:hAnsi="Calibri" w:cs="Calibri"/>
          <w:szCs w:val="24"/>
          <w:lang w:val="en-US"/>
        </w:rPr>
        <w:t>Agulles Miguel, Melo-Aguilar Camilo, &amp; Jordà Gabriel. (2022). Risk of loss of tourism attractiveness in the Western Mediterranean under climate change</w:t>
      </w:r>
      <w:r w:rsidRPr="000C0227">
        <w:rPr>
          <w:rFonts w:ascii="Calibri" w:eastAsia="Calibri" w:hAnsi="Calibri" w:cs="Calibri"/>
          <w:szCs w:val="24"/>
          <w:lang w:val="en-US"/>
        </w:rPr>
        <w:t xml:space="preserve">. </w:t>
      </w:r>
      <w:hyperlink r:id="rId10" w:history="1">
        <w:r w:rsidRPr="000C0227">
          <w:rPr>
            <w:rStyle w:val="Hyperlink"/>
            <w:rFonts w:cstheme="minorHAnsi"/>
            <w:color w:val="auto"/>
            <w:u w:val="none"/>
            <w:bdr w:val="none" w:sz="0" w:space="0" w:color="auto" w:frame="1"/>
            <w:lang w:val="en-US"/>
          </w:rPr>
          <w:t>https://doi.org/10.3389/fclim.2022.1019892</w:t>
        </w:r>
      </w:hyperlink>
    </w:p>
    <w:p w14:paraId="4C51C84C" w14:textId="77777777" w:rsidR="00661D9F" w:rsidRPr="000C0227" w:rsidRDefault="00EB1922">
      <w:pPr>
        <w:rPr>
          <w:rStyle w:val="Hyperlink"/>
          <w:rFonts w:cstheme="minorHAnsi"/>
          <w:bdr w:val="none" w:sz="0" w:space="0" w:color="auto" w:frame="1"/>
          <w:lang w:val="en-US"/>
        </w:rPr>
      </w:pPr>
      <w:r w:rsidRPr="00E03C6E">
        <w:rPr>
          <w:rFonts w:ascii="Calibri" w:eastAsia="Calibri" w:hAnsi="Calibri" w:cs="Calibri"/>
          <w:szCs w:val="24"/>
          <w:lang w:val="en-US"/>
        </w:rPr>
        <w:lastRenderedPageBreak/>
        <w:t>Jordà Gabriel, Agulles Miguel</w:t>
      </w:r>
      <w:r w:rsidR="00661D9F" w:rsidRPr="00E03C6E">
        <w:rPr>
          <w:rFonts w:ascii="Calibri" w:eastAsia="Calibri" w:hAnsi="Calibri" w:cs="Calibri"/>
          <w:szCs w:val="24"/>
          <w:lang w:val="en-US"/>
        </w:rPr>
        <w:t>, &amp; Melo-Aguilar Camilo. (2023). Case study n° 1: Risk of loss of tourism attractiveness due to climate change in the western Mediterranean (D4.2.1, factsheet in Spanish with an English summary) (Version 1</w:t>
      </w:r>
      <w:r w:rsidR="00661D9F" w:rsidRPr="000C0227">
        <w:rPr>
          <w:rFonts w:ascii="Calibri" w:eastAsia="Calibri" w:hAnsi="Calibri" w:cs="Calibri"/>
          <w:szCs w:val="24"/>
          <w:lang w:val="en-US"/>
        </w:rPr>
        <w:t xml:space="preserve">). </w:t>
      </w:r>
      <w:r w:rsidR="00661D9F" w:rsidRPr="000C0227">
        <w:rPr>
          <w:rStyle w:val="Hyperlink"/>
          <w:rFonts w:cstheme="minorHAnsi"/>
          <w:color w:val="auto"/>
          <w:u w:val="none"/>
          <w:bdr w:val="none" w:sz="0" w:space="0" w:color="auto" w:frame="1"/>
          <w:lang w:val="en-US"/>
        </w:rPr>
        <w:t>https://doi.org/10.5281/ .7625241</w:t>
      </w:r>
    </w:p>
    <w:p w14:paraId="787DF328" w14:textId="77777777" w:rsidR="00661D9F" w:rsidRPr="000C0227" w:rsidRDefault="00661D9F">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Jordà Gabriel, Agulles Miguel, &amp; Melo-Aguilar Camilo. (2023). Case study n° 1: Risk of loss of tourism attractiveness due to climate change in the western Mediterranean, Lessons learned, long version (D3.4.1) (Version 1). </w:t>
      </w:r>
      <w:r w:rsidRPr="000C0227">
        <w:rPr>
          <w:rStyle w:val="Hyperlink"/>
          <w:rFonts w:cstheme="minorHAnsi"/>
          <w:color w:val="auto"/>
          <w:u w:val="none"/>
          <w:bdr w:val="none" w:sz="0" w:space="0" w:color="auto" w:frame="1"/>
          <w:lang w:val="en-US"/>
        </w:rPr>
        <w:t>https://doi.org/10.5281/ .7625179</w:t>
      </w:r>
    </w:p>
    <w:p w14:paraId="12E646C9" w14:textId="77777777" w:rsidR="00661D9F" w:rsidRPr="000C0227" w:rsidRDefault="00661D9F">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Jordà Gabriel, Agulles Miguel, &amp; Melo-Aguilar Camilo. (2023). Case study n° 1: Risk of loss of tourism attractiveness due to climate change in the western Mediterranean, Spanish lessons learned (D3.4.1) (Version 1</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.7625150</w:t>
      </w:r>
    </w:p>
    <w:p w14:paraId="27364D3C" w14:textId="77777777" w:rsidR="00661D9F" w:rsidRPr="000C0227" w:rsidRDefault="00661D9F">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André, K., Englund, M., Gerger Swartling, Å., Barquet, K., &amp; Segnestam, L. (2023). </w:t>
      </w:r>
      <w:r w:rsidRPr="00E03C6E">
        <w:rPr>
          <w:rFonts w:ascii="Calibri" w:eastAsia="Calibri" w:hAnsi="Calibri" w:cs="Calibri"/>
          <w:szCs w:val="24"/>
          <w:lang w:val="en-US"/>
        </w:rPr>
        <w:t xml:space="preserve">Case n°6_Exploring Social Vulnerability to Multiple Hazards and Cascading Effects in Halmstad, Sweden_Evaluation of Outcomes_ Fact sheet (in Swedish) (D4.2.6a). </w:t>
      </w:r>
      <w:r w:rsidRPr="000C0227">
        <w:rPr>
          <w:rStyle w:val="Hyperlink"/>
          <w:rFonts w:cstheme="minorHAnsi"/>
          <w:color w:val="auto"/>
          <w:u w:val="none"/>
          <w:bdr w:val="none" w:sz="0" w:space="0" w:color="auto" w:frame="1"/>
          <w:lang w:val="en-US"/>
        </w:rPr>
        <w:t>https://doi.org/10.5281/ .7625303</w:t>
      </w:r>
    </w:p>
    <w:p w14:paraId="693DC3D2" w14:textId="77777777" w:rsidR="00661D9F"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Englund, M., André, K., Barquet, K., &amp; Segnestam, L. (2022). Case n°6_Exploring Social Vulnerability to Multiple Hazards and Cascading Effects in Halmstad, Sweden_Evaluation of Outcomes_SEI discussion brief (in Swedish) (D4.2.6c). </w:t>
      </w:r>
      <w:hyperlink r:id="rId11" w:history="1">
        <w:r w:rsidRPr="000C0227">
          <w:rPr>
            <w:rStyle w:val="Hyperlink"/>
            <w:rFonts w:cstheme="minorHAnsi"/>
            <w:color w:val="auto"/>
            <w:u w:val="none"/>
            <w:bdr w:val="none" w:sz="0" w:space="0" w:color="auto" w:frame="1"/>
            <w:lang w:val="en-US"/>
          </w:rPr>
          <w:t>https://doi.org/10.51414/sei2022.039</w:t>
        </w:r>
      </w:hyperlink>
    </w:p>
    <w:p w14:paraId="018E4501" w14:textId="77777777" w:rsidR="00576B36" w:rsidRPr="000C0227" w:rsidRDefault="00D85B60">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L</w:t>
      </w:r>
      <w:r w:rsidR="00576B36" w:rsidRPr="00E03C6E">
        <w:rPr>
          <w:rFonts w:ascii="Calibri" w:eastAsia="Calibri" w:hAnsi="Calibri" w:cs="Calibri"/>
          <w:szCs w:val="24"/>
          <w:lang w:val="en-US"/>
        </w:rPr>
        <w:t xml:space="preserve">ückerath, D., Rome, E., &amp; Milde, K. (2023). Using Impact Chains for Assessing Local Climate Risk – A Case Study on impacts of extended periods of fluvial low waters and drought on a metropolitan region. Frontiers in Climate, 5, 1–20. </w:t>
      </w:r>
      <w:hyperlink r:id="rId12" w:history="1">
        <w:r w:rsidR="00576B36" w:rsidRPr="000C0227">
          <w:rPr>
            <w:rStyle w:val="Hyperlink"/>
            <w:rFonts w:cstheme="minorHAnsi"/>
            <w:color w:val="auto"/>
            <w:u w:val="none"/>
            <w:bdr w:val="none" w:sz="0" w:space="0" w:color="auto" w:frame="1"/>
            <w:lang w:val="en-US"/>
          </w:rPr>
          <w:t>https://doi.org/10.3389/fclim.2023.1037117</w:t>
        </w:r>
      </w:hyperlink>
    </w:p>
    <w:p w14:paraId="49F9F88D"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Englund, M., André, K., Barquet, K., &amp; Segnestam, L. (2022). Case n°6_Exploring Social Vulnerability to Multiple Hazards and Cascading Effects in Halmstad, Sweden_Evaluation of Outcomes_SEI discussion brief (in English) (D4.2.6b). </w:t>
      </w:r>
      <w:hyperlink r:id="rId13" w:history="1">
        <w:r w:rsidRPr="000C0227">
          <w:rPr>
            <w:rStyle w:val="Hyperlink"/>
            <w:rFonts w:cstheme="minorHAnsi"/>
            <w:color w:val="auto"/>
            <w:u w:val="none"/>
            <w:bdr w:val="none" w:sz="0" w:space="0" w:color="auto" w:frame="1"/>
            <w:lang w:val="en-US"/>
          </w:rPr>
          <w:t>https://doi.org/10.51414/sei2022.038</w:t>
        </w:r>
      </w:hyperlink>
    </w:p>
    <w:p w14:paraId="15C1141D"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Jordà Gabriel, Agulles Miguel, &amp; Melo-Aguilar Camilo. (2023). Case study n° 1: Risk of loss of tourism attractiveness due to climate change in the western Mediterranean (D3.1.1) (Version 1). </w:t>
      </w:r>
      <w:r w:rsidRPr="000C0227">
        <w:rPr>
          <w:rStyle w:val="Hyperlink"/>
          <w:rFonts w:cstheme="minorHAnsi"/>
          <w:color w:val="auto"/>
          <w:u w:val="none"/>
          <w:bdr w:val="none" w:sz="0" w:space="0" w:color="auto" w:frame="1"/>
          <w:lang w:val="en-US"/>
        </w:rPr>
        <w:t>https://doi.org/10.5281/ .7624912</w:t>
      </w:r>
    </w:p>
    <w:p w14:paraId="2B2D6824" w14:textId="77777777" w:rsidR="00576B36" w:rsidRPr="000C0227" w:rsidRDefault="00576B36">
      <w:pPr>
        <w:rPr>
          <w:rFonts w:ascii="Calibri" w:eastAsia="Calibri" w:hAnsi="Calibri" w:cs="Calibri"/>
          <w:szCs w:val="24"/>
        </w:rPr>
      </w:pPr>
      <w:r w:rsidRPr="000C0227">
        <w:rPr>
          <w:rFonts w:ascii="Calibri" w:eastAsia="Calibri" w:hAnsi="Calibri" w:cs="Calibri"/>
          <w:szCs w:val="24"/>
        </w:rPr>
        <w:t xml:space="preserve">T. Holm. (2023). Case study n°11: Grenseoverskridande klimarisiko- Korleis kan husdyrproduksjonen i Klepp påverkast av klimaendringar i andre land?(D4.2.11). </w:t>
      </w:r>
      <w:r w:rsidRPr="000C0227">
        <w:rPr>
          <w:rStyle w:val="Hyperlink"/>
          <w:rFonts w:cstheme="minorHAnsi"/>
          <w:color w:val="auto"/>
          <w:u w:val="none"/>
          <w:bdr w:val="none" w:sz="0" w:space="0" w:color="auto" w:frame="1"/>
        </w:rPr>
        <w:t>https://doi.org/10.5281/ .7624910</w:t>
      </w:r>
    </w:p>
    <w:p w14:paraId="0800EB1F" w14:textId="77777777" w:rsidR="00576B36" w:rsidRPr="000C0227" w:rsidRDefault="00576B36">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T. Holm, M. K. Jansen, &amp; B. J. Skogvang. </w:t>
      </w:r>
      <w:r w:rsidRPr="00E03C6E">
        <w:rPr>
          <w:rFonts w:ascii="Calibri" w:eastAsia="Calibri" w:hAnsi="Calibri" w:cs="Calibri"/>
          <w:szCs w:val="24"/>
          <w:lang w:val="en-US"/>
        </w:rPr>
        <w:t xml:space="preserve">(2023). Case study n°11: Lessons learned. A short summary of the process and outcome (native language, english summary (D.3.4.11a). </w:t>
      </w:r>
      <w:r w:rsidRPr="000C0227">
        <w:rPr>
          <w:rStyle w:val="Hyperlink"/>
          <w:rFonts w:cstheme="minorHAnsi"/>
          <w:color w:val="auto"/>
          <w:u w:val="none"/>
          <w:bdr w:val="none" w:sz="0" w:space="0" w:color="auto" w:frame="1"/>
          <w:lang w:val="en-US"/>
        </w:rPr>
        <w:t>https://doi.org/10.5281/ .7624788</w:t>
      </w:r>
    </w:p>
    <w:p w14:paraId="2648C706"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C. Aall. (2021). Case study n°11: Transboundary climate risk: How can livestock production in Klepp be affected by climate changes in other countries? (D3.1.11). </w:t>
      </w:r>
      <w:r w:rsidRPr="000C0227">
        <w:rPr>
          <w:rStyle w:val="Hyperlink"/>
          <w:rFonts w:cstheme="minorHAnsi"/>
          <w:color w:val="auto"/>
          <w:u w:val="none"/>
          <w:bdr w:val="none" w:sz="0" w:space="0" w:color="auto" w:frame="1"/>
          <w:lang w:val="en-US"/>
        </w:rPr>
        <w:t>https://doi.org/10.5281/ .7624766</w:t>
      </w:r>
    </w:p>
    <w:p w14:paraId="510804F3" w14:textId="77777777" w:rsidR="00576B36" w:rsidRPr="000C0227" w:rsidRDefault="00576B36">
      <w:pPr>
        <w:rPr>
          <w:rFonts w:ascii="Calibri" w:eastAsia="Calibri" w:hAnsi="Calibri" w:cs="Calibri"/>
          <w:szCs w:val="24"/>
          <w:lang w:val="en-US"/>
        </w:rPr>
      </w:pPr>
      <w:r w:rsidRPr="00E03C6E">
        <w:rPr>
          <w:rFonts w:ascii="Calibri" w:eastAsia="Calibri" w:hAnsi="Calibri" w:cs="Calibri"/>
          <w:szCs w:val="24"/>
          <w:lang w:val="en-US"/>
        </w:rPr>
        <w:t xml:space="preserve">Aall C., Menk L., M. Meyer, B. Dale, D. Lückerath, E. Nyadzi, E. Rome, F. Rudolf, H. Goosen, K. André, K. Harris, L. Becker, L. Fulco, M. Benzie, M. Zebisch, M. Hanssen Korsbrekke, M. K. Jansen, N. Durmaz, </w:t>
      </w:r>
      <w:r w:rsidRPr="00E03C6E">
        <w:rPr>
          <w:rFonts w:ascii="Calibri" w:eastAsia="Calibri" w:hAnsi="Calibri" w:cs="Calibri"/>
          <w:szCs w:val="24"/>
          <w:lang w:val="en-US"/>
        </w:rPr>
        <w:lastRenderedPageBreak/>
        <w:t xml:space="preserve">S. Kienberger, … E. Leander. (2020). Methods for climate change risk assessments: An international knowledge review (D1.1a). </w:t>
      </w:r>
      <w:r w:rsidRPr="000C0227">
        <w:rPr>
          <w:rStyle w:val="Hyperlink"/>
          <w:rFonts w:cstheme="minorHAnsi"/>
          <w:color w:val="auto"/>
          <w:u w:val="none"/>
          <w:bdr w:val="none" w:sz="0" w:space="0" w:color="auto" w:frame="1"/>
          <w:lang w:val="en-US"/>
        </w:rPr>
        <w:t>https://doi.org/10.5281/ .7624575</w:t>
      </w:r>
    </w:p>
    <w:p w14:paraId="3BB2BAF7"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André, K., &amp; Englund, M. (2022). Case study n°6: Exploring Social Vulnerability to Multiple Hazards and Cascading Effects in Halmstad, Sweden - Lessons learned (Long version) (D3.4.6). </w:t>
      </w:r>
      <w:r w:rsidRPr="000C0227">
        <w:rPr>
          <w:rStyle w:val="Hyperlink"/>
          <w:rFonts w:cstheme="minorHAnsi"/>
          <w:color w:val="auto"/>
          <w:u w:val="none"/>
          <w:bdr w:val="none" w:sz="0" w:space="0" w:color="auto" w:frame="1"/>
          <w:lang w:val="en-US"/>
        </w:rPr>
        <w:t>https://doi.org/10.5281/ .7588889</w:t>
      </w:r>
    </w:p>
    <w:p w14:paraId="52BB63A8" w14:textId="77777777" w:rsidR="00576B36" w:rsidRPr="000C0227" w:rsidRDefault="00576B36" w:rsidP="00E03C6E">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Karin André, Mathilda Englund, &amp; Åsa Gerger Swartling. </w:t>
      </w:r>
      <w:r w:rsidRPr="00E03C6E">
        <w:rPr>
          <w:rFonts w:ascii="Calibri" w:eastAsia="Calibri" w:hAnsi="Calibri" w:cs="Calibri"/>
          <w:szCs w:val="24"/>
          <w:lang w:val="en-US"/>
        </w:rPr>
        <w:t xml:space="preserve">(2022). Case n°6_Exploring Social Vulnerability to Multiple Hazards and Cascading Effects in Halmstad, Sweden_Lessons learned (D3.4.6). </w:t>
      </w:r>
      <w:r w:rsidRPr="000C0227">
        <w:rPr>
          <w:rStyle w:val="Hyperlink"/>
          <w:rFonts w:cstheme="minorHAnsi"/>
          <w:color w:val="auto"/>
          <w:u w:val="none"/>
          <w:bdr w:val="none" w:sz="0" w:space="0" w:color="auto" w:frame="1"/>
          <w:lang w:val="en-US"/>
        </w:rPr>
        <w:t>https://doi.org/10.51414/sei2022.041</w:t>
      </w:r>
    </w:p>
    <w:p w14:paraId="79EAFA45" w14:textId="77777777" w:rsidR="00576B36" w:rsidRPr="000C0227" w:rsidRDefault="00576B36">
      <w:pPr>
        <w:rPr>
          <w:rStyle w:val="Hyperlink"/>
          <w:rFonts w:cstheme="minorHAnsi"/>
          <w:color w:val="auto"/>
          <w:u w:val="none"/>
          <w:bdr w:val="none" w:sz="0" w:space="0" w:color="auto" w:frame="1"/>
        </w:rPr>
      </w:pPr>
      <w:r w:rsidRPr="000C0227">
        <w:rPr>
          <w:rFonts w:ascii="Calibri" w:eastAsia="Calibri" w:hAnsi="Calibri" w:cs="Calibri"/>
          <w:szCs w:val="24"/>
        </w:rPr>
        <w:t xml:space="preserve">Harris, K., Lager, F., Jansen, M. K., &amp; Benzie, M. (2022). </w:t>
      </w:r>
      <w:r w:rsidRPr="00E03C6E">
        <w:rPr>
          <w:rFonts w:ascii="Calibri" w:eastAsia="Calibri" w:hAnsi="Calibri" w:cs="Calibri"/>
          <w:szCs w:val="24"/>
          <w:lang w:val="en-US"/>
        </w:rPr>
        <w:t xml:space="preserve">Rising to a New Challenge: A Protocol for Case-Study Research on Transboundary Climate Risk (D1.2). </w:t>
      </w:r>
      <w:hyperlink r:id="rId14" w:history="1">
        <w:r w:rsidRPr="000C0227">
          <w:rPr>
            <w:rStyle w:val="Hyperlink"/>
            <w:rFonts w:cstheme="minorHAnsi"/>
            <w:color w:val="auto"/>
            <w:u w:val="none"/>
            <w:bdr w:val="none" w:sz="0" w:space="0" w:color="auto" w:frame="1"/>
          </w:rPr>
          <w:t>https://doi.org/10.1175/WCAS-D-21-0022.1</w:t>
        </w:r>
      </w:hyperlink>
    </w:p>
    <w:p w14:paraId="46902BE4" w14:textId="77777777" w:rsidR="00576B36" w:rsidRPr="000C0227" w:rsidRDefault="00576B36">
      <w:pPr>
        <w:rPr>
          <w:rStyle w:val="Hyperlink"/>
          <w:rFonts w:cstheme="minorHAnsi"/>
          <w:bdr w:val="none" w:sz="0" w:space="0" w:color="auto" w:frame="1"/>
          <w:lang w:val="en-US"/>
        </w:rPr>
      </w:pPr>
      <w:r w:rsidRPr="000C0227">
        <w:rPr>
          <w:rFonts w:ascii="Calibri" w:eastAsia="Calibri" w:hAnsi="Calibri" w:cs="Calibri"/>
          <w:szCs w:val="24"/>
        </w:rPr>
        <w:t xml:space="preserve">Englund, M., André, K., Gerger Swartling, Å., &amp; Iao-Jörgensen. </w:t>
      </w:r>
      <w:r w:rsidRPr="00E03C6E">
        <w:rPr>
          <w:rFonts w:ascii="Calibri" w:eastAsia="Calibri" w:hAnsi="Calibri" w:cs="Calibri"/>
          <w:szCs w:val="24"/>
          <w:lang w:val="en-US"/>
        </w:rPr>
        <w:t xml:space="preserve">(2022). Four Methodological Guidelines to Evaluate the Research Impact of Co-produced Climate Services (D4.3.1). </w:t>
      </w:r>
      <w:hyperlink r:id="rId15" w:history="1">
        <w:r w:rsidRPr="000C0227">
          <w:rPr>
            <w:rStyle w:val="Hyperlink"/>
            <w:rFonts w:cstheme="minorHAnsi"/>
            <w:color w:val="auto"/>
            <w:u w:val="none"/>
            <w:bdr w:val="none" w:sz="0" w:space="0" w:color="auto" w:frame="1"/>
            <w:lang w:val="en-US"/>
          </w:rPr>
          <w:t>https://doi.org/10.3389/fclim.2022.909422</w:t>
        </w:r>
      </w:hyperlink>
    </w:p>
    <w:p w14:paraId="23F0A95D"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Dale, B. (2023). Case study nr 7: Securing sustainable food production in Northern Norway under the auspices of climatic changes Lessons learned (in native language) (D.3.4.7). </w:t>
      </w:r>
      <w:r w:rsidRPr="000C0227">
        <w:rPr>
          <w:rStyle w:val="Hyperlink"/>
          <w:rFonts w:cstheme="minorHAnsi"/>
          <w:color w:val="auto"/>
          <w:u w:val="none"/>
          <w:bdr w:val="none" w:sz="0" w:space="0" w:color="auto" w:frame="1"/>
          <w:lang w:val="en-US"/>
        </w:rPr>
        <w:t>https://doi.org/10.5281/ .7594841</w:t>
      </w:r>
    </w:p>
    <w:p w14:paraId="629E1EF6"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Julie Gobert, &amp; Florence Rudolf. (2023). Case study 9: Sensibilities and vulnerabilities of small and medium enterprises in the Upper Rhine Region - Impacts and adaptation of the Rhine transport system. Internal note issued to local stakeholders (D3.1.9). </w:t>
      </w:r>
      <w:r w:rsidRPr="000C0227">
        <w:rPr>
          <w:rStyle w:val="Hyperlink"/>
          <w:rFonts w:cstheme="minorHAnsi"/>
          <w:color w:val="auto"/>
          <w:u w:val="none"/>
          <w:bdr w:val="none" w:sz="0" w:space="0" w:color="auto" w:frame="1"/>
          <w:lang w:val="en-US"/>
        </w:rPr>
        <w:t>https://doi.org/10.5281/ .7594148</w:t>
      </w:r>
    </w:p>
    <w:p w14:paraId="6716BCD3"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Gobert Julie, &amp; Rudolf Florence. (2023). Case study 9: Sensibilities and vulnerabilities of small and medium enterprises in the Upper Rhine Region - Impacts and adaptation of the Rhine transport system. Lessons learned. (D3.4.9 report with french summary</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.7591144</w:t>
      </w:r>
    </w:p>
    <w:p w14:paraId="6E56D559" w14:textId="77777777" w:rsidR="00576B36" w:rsidRPr="000C0227" w:rsidRDefault="00576B36">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Gobert Julie, &amp; Rudolf Florence. (2023). Case study 9: Sensibilities and vulnerabilities of small and medium enterprises in the Upper Rhine Region - Impacts and adaptation of the Rhine transport system. Evaluation of the outcomes (D4.2.9. Factsheet in French with an English summary). </w:t>
      </w:r>
      <w:r w:rsidR="00A57FF5" w:rsidRPr="000C0227">
        <w:rPr>
          <w:rStyle w:val="Hyperlink"/>
          <w:rFonts w:cstheme="minorHAnsi"/>
          <w:color w:val="auto"/>
          <w:u w:val="none"/>
          <w:bdr w:val="none" w:sz="0" w:space="0" w:color="auto" w:frame="1"/>
          <w:lang w:val="en-US"/>
        </w:rPr>
        <w:t>https://doi.org/10.5281/ .7588806</w:t>
      </w:r>
    </w:p>
    <w:p w14:paraId="1443AA5A" w14:textId="77777777" w:rsidR="00A57FF5" w:rsidRPr="000C0227" w:rsidRDefault="00A57FF5">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André, K., Englund, M., &amp; Gerger Swartling, Å. (2021). </w:t>
      </w:r>
      <w:r w:rsidRPr="00E03C6E">
        <w:rPr>
          <w:rFonts w:ascii="Calibri" w:eastAsia="Calibri" w:hAnsi="Calibri" w:cs="Calibri"/>
          <w:szCs w:val="24"/>
          <w:lang w:val="en-US"/>
        </w:rPr>
        <w:t>Case study n°6: Exploring Social Vulnerability to Multiple Hazards and Cascading Effects in Halmstad, Sweden - Internal note issued to local stakeholders (in Swedish) (D3.1.6</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.7576134</w:t>
      </w:r>
    </w:p>
    <w:p w14:paraId="02EAEB48" w14:textId="77777777" w:rsidR="00A57FF5" w:rsidRPr="000C0227" w:rsidRDefault="00A57FF5" w:rsidP="00E03C6E">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Yoelma Rodriguez, A. C. (2023). Data Management Plan. </w:t>
      </w:r>
      <w:r w:rsidRPr="000C0227">
        <w:rPr>
          <w:rStyle w:val="Hyperlink"/>
          <w:rFonts w:cstheme="minorHAnsi"/>
          <w:color w:val="auto"/>
          <w:u w:val="none"/>
          <w:bdr w:val="none" w:sz="0" w:space="0" w:color="auto" w:frame="1"/>
          <w:lang w:val="en-US"/>
        </w:rPr>
        <w:t>https://doi.org/10.5281/ .7575252</w:t>
      </w:r>
    </w:p>
    <w:p w14:paraId="0950DF8F" w14:textId="77777777" w:rsidR="00A57FF5" w:rsidRPr="000C0227" w:rsidRDefault="00A57FF5">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lastRenderedPageBreak/>
        <w:t xml:space="preserve">Rome, E., Lückerath, D., &amp; Milde, K. (2022). Case study n°3: Economic effects of adapting critical infrastructure in the Mannheim metropolitan area - Lessons learned (D3.4.3). </w:t>
      </w:r>
      <w:r w:rsidRPr="000C0227">
        <w:rPr>
          <w:rStyle w:val="Hyperlink"/>
          <w:rFonts w:cstheme="minorHAnsi"/>
          <w:color w:val="auto"/>
          <w:u w:val="none"/>
          <w:bdr w:val="none" w:sz="0" w:space="0" w:color="auto" w:frame="1"/>
          <w:lang w:val="en-US"/>
        </w:rPr>
        <w:t>https://doi.org/10.5281/ .7565876</w:t>
      </w:r>
    </w:p>
    <w:p w14:paraId="7E9D1F7B" w14:textId="77777777" w:rsidR="00A57FF5" w:rsidRPr="000C0227" w:rsidRDefault="00A57FF5">
      <w:pPr>
        <w:rPr>
          <w:rStyle w:val="Hyperlink"/>
          <w:rFonts w:cstheme="minorHAnsi"/>
          <w:bdr w:val="none" w:sz="0" w:space="0" w:color="auto" w:frame="1"/>
          <w:lang w:val="en-US"/>
        </w:rPr>
      </w:pPr>
      <w:r w:rsidRPr="00E03C6E">
        <w:rPr>
          <w:rFonts w:ascii="Calibri" w:eastAsia="Calibri" w:hAnsi="Calibri" w:cs="Calibri"/>
          <w:szCs w:val="24"/>
          <w:lang w:val="en-US"/>
        </w:rPr>
        <w:t xml:space="preserve">Rome, E., Lückerath, D., &amp; Milde, K. (2020). Case study n°3: Economic effects of adapting critical infrastructure in the Mannheim metropolitan area - Projektvorstellung UNCHAIN (D3.1.3). </w:t>
      </w:r>
      <w:r w:rsidRPr="000C0227">
        <w:rPr>
          <w:rStyle w:val="Hyperlink"/>
          <w:rFonts w:cstheme="minorHAnsi"/>
          <w:color w:val="auto"/>
          <w:u w:val="none"/>
          <w:bdr w:val="none" w:sz="0" w:space="0" w:color="auto" w:frame="1"/>
          <w:lang w:val="en-US"/>
        </w:rPr>
        <w:t>https://doi.org/10.5281/ .7565472</w:t>
      </w:r>
    </w:p>
    <w:p w14:paraId="6CCD9ACC" w14:textId="77777777" w:rsidR="00A57FF5" w:rsidRPr="000C0227" w:rsidRDefault="00A57FF5">
      <w:pPr>
        <w:rPr>
          <w:rStyle w:val="Hyperlink"/>
          <w:rFonts w:cstheme="minorHAnsi"/>
          <w:color w:val="auto"/>
          <w:u w:val="none"/>
          <w:bdr w:val="none" w:sz="0" w:space="0" w:color="auto" w:frame="1"/>
          <w:lang w:val="en-US"/>
        </w:rPr>
      </w:pPr>
      <w:r w:rsidRPr="000C0227">
        <w:rPr>
          <w:rFonts w:ascii="Calibri" w:eastAsia="Calibri" w:hAnsi="Calibri" w:cs="Calibri"/>
          <w:szCs w:val="24"/>
        </w:rPr>
        <w:t xml:space="preserve">Menk, L., Terzi, S., Rome, E., Zebisch, M., Lückerath, D., Milde, K., &amp; Kienberger, S. (2022). </w:t>
      </w:r>
      <w:r w:rsidRPr="00E03C6E">
        <w:rPr>
          <w:rFonts w:ascii="Calibri" w:eastAsia="Calibri" w:hAnsi="Calibri" w:cs="Calibri"/>
          <w:szCs w:val="24"/>
          <w:lang w:val="en-US"/>
        </w:rPr>
        <w:t xml:space="preserve">Climate Change Impact Chains: A Review of Applications, Challenges, and Opportunities for Climate Risk and Vulnerability Assessments (D2.2). Weather, Climate, and Society, 14(2), 619–639. </w:t>
      </w:r>
      <w:hyperlink r:id="rId16" w:history="1">
        <w:r w:rsidRPr="000C0227">
          <w:rPr>
            <w:rStyle w:val="Hyperlink"/>
            <w:rFonts w:cstheme="minorHAnsi"/>
            <w:color w:val="auto"/>
            <w:u w:val="none"/>
            <w:bdr w:val="none" w:sz="0" w:space="0" w:color="auto" w:frame="1"/>
            <w:lang w:val="en-US"/>
          </w:rPr>
          <w:t>https://doi.org/10.1175/WCAS-D-21-0014.1</w:t>
        </w:r>
      </w:hyperlink>
    </w:p>
    <w:p w14:paraId="26B86F09" w14:textId="77777777" w:rsidR="00A57FF5" w:rsidRPr="000C0227" w:rsidRDefault="00A57FF5">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Cauchy, A. (2023). Case study n° 10: From hazards in Senegal to migrants' integration in the City of Paris, Evaluation of the outcomes (D4.2.10, factsheet in French with an English summary). </w:t>
      </w:r>
      <w:r w:rsidRPr="000C0227">
        <w:rPr>
          <w:rStyle w:val="Hyperlink"/>
          <w:rFonts w:cstheme="minorHAnsi"/>
          <w:color w:val="auto"/>
          <w:u w:val="none"/>
          <w:bdr w:val="none" w:sz="0" w:space="0" w:color="auto" w:frame="1"/>
          <w:lang w:val="en-US"/>
        </w:rPr>
        <w:t>https://doi.org/10.5281/ .7562045</w:t>
      </w:r>
    </w:p>
    <w:p w14:paraId="0C88678B" w14:textId="77777777" w:rsidR="00A57FF5" w:rsidRPr="000C0227" w:rsidRDefault="00A57FF5">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Cauchy, Adeline; Bour, Muriel; Arvis, Blandine. (2023). Case study n°10 : From hazards in Senegal to migrants' integration in the City of Paris, Impact Chain model. </w:t>
      </w:r>
      <w:r w:rsidRPr="000C0227">
        <w:rPr>
          <w:rStyle w:val="Hyperlink"/>
          <w:rFonts w:cstheme="minorHAnsi"/>
          <w:color w:val="auto"/>
          <w:u w:val="none"/>
          <w:bdr w:val="none" w:sz="0" w:space="0" w:color="auto" w:frame="1"/>
          <w:lang w:val="en-US"/>
        </w:rPr>
        <w:t>https://doi.org/10.5281/ .7555100</w:t>
      </w:r>
    </w:p>
    <w:p w14:paraId="67F8E69B" w14:textId="77777777" w:rsidR="00A57FF5" w:rsidRPr="000C0227" w:rsidRDefault="00A57FF5">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Cauchy, A. (2023, Januar 20). Case study n°10 : From hazards in Senegal to migrants' integration in the City of Paris, workshop presentation</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.7555070</w:t>
      </w:r>
    </w:p>
    <w:p w14:paraId="52B3C178" w14:textId="77777777" w:rsidR="00A57FF5" w:rsidRPr="000C0227" w:rsidRDefault="00A57FF5">
      <w:pPr>
        <w:rPr>
          <w:rStyle w:val="Hyperlink"/>
          <w:rFonts w:cstheme="minorHAnsi"/>
          <w:color w:val="auto"/>
          <w:u w:val="none"/>
          <w:bdr w:val="none" w:sz="0" w:space="0" w:color="auto" w:frame="1"/>
          <w:lang w:val="en-US"/>
        </w:rPr>
      </w:pPr>
      <w:r w:rsidRPr="00E03C6E">
        <w:rPr>
          <w:rFonts w:ascii="Calibri" w:eastAsia="Calibri" w:hAnsi="Calibri" w:cs="Calibri"/>
          <w:szCs w:val="24"/>
          <w:lang w:val="en-US"/>
        </w:rPr>
        <w:t xml:space="preserve">Bour, Muriel; Cauchy, Adeline; Arvis, Blandine; Bourkane, Imane. (2023). Case study n°10: From hazards in Senegal to migrants' integration in the City of Paris, lessons learned (D3.4.10). </w:t>
      </w:r>
      <w:r w:rsidRPr="000C0227">
        <w:rPr>
          <w:rStyle w:val="Hyperlink"/>
          <w:rFonts w:cstheme="minorHAnsi"/>
          <w:color w:val="auto"/>
          <w:u w:val="none"/>
          <w:bdr w:val="none" w:sz="0" w:space="0" w:color="auto" w:frame="1"/>
          <w:lang w:val="en-US"/>
        </w:rPr>
        <w:t>https://doi.org/10.5281/ .7554934</w:t>
      </w:r>
    </w:p>
    <w:p w14:paraId="5511E76B" w14:textId="77777777" w:rsidR="00A57FF5" w:rsidRPr="000C0227" w:rsidRDefault="00A57FF5">
      <w:pPr>
        <w:rPr>
          <w:rStyle w:val="Hyperlink"/>
          <w:color w:val="auto"/>
          <w:u w:val="none"/>
          <w:bdr w:val="none" w:sz="0" w:space="0" w:color="auto" w:frame="1"/>
          <w:lang w:val="en-US"/>
        </w:rPr>
      </w:pPr>
      <w:r w:rsidRPr="00E03C6E">
        <w:rPr>
          <w:rFonts w:ascii="Calibri" w:eastAsia="Calibri" w:hAnsi="Calibri" w:cs="Calibri"/>
          <w:szCs w:val="24"/>
          <w:lang w:val="en-US"/>
        </w:rPr>
        <w:t>Cauchy, A. (2023). Case study n°10: From hazards in Senegal to migrants' integration in the City of Paris, internal note issued to local stakeholders (D3.1.10</w:t>
      </w:r>
      <w:r w:rsidRPr="000C0227">
        <w:rPr>
          <w:rFonts w:ascii="Calibri" w:eastAsia="Calibri" w:hAnsi="Calibri" w:cs="Calibri"/>
          <w:szCs w:val="24"/>
          <w:lang w:val="en-US"/>
        </w:rPr>
        <w:t xml:space="preserve">). </w:t>
      </w:r>
      <w:r w:rsidRPr="000C0227">
        <w:rPr>
          <w:rStyle w:val="Hyperlink"/>
          <w:rFonts w:cstheme="minorHAnsi"/>
          <w:color w:val="auto"/>
          <w:u w:val="none"/>
          <w:bdr w:val="none" w:sz="0" w:space="0" w:color="auto" w:frame="1"/>
          <w:lang w:val="en-US"/>
        </w:rPr>
        <w:t>https://doi.org/10.5281/ .7544103</w:t>
      </w:r>
    </w:p>
    <w:p w14:paraId="2AE7D102" w14:textId="77777777" w:rsidR="00A57FF5" w:rsidRPr="003C7872" w:rsidRDefault="00A57FF5">
      <w:pPr>
        <w:rPr>
          <w:rFonts w:cstheme="minorHAnsi"/>
          <w:color w:val="000000"/>
          <w:sz w:val="21"/>
          <w:szCs w:val="21"/>
          <w:shd w:val="clear" w:color="auto" w:fill="F5F5F5"/>
          <w:lang w:val="en-US"/>
        </w:rPr>
      </w:pPr>
    </w:p>
    <w:p w14:paraId="1A4A0B1A" w14:textId="77777777" w:rsidR="00B043B9" w:rsidRPr="003C7872" w:rsidRDefault="00B043B9">
      <w:pPr>
        <w:rPr>
          <w:rFonts w:cstheme="minorHAnsi"/>
          <w:b/>
          <w:color w:val="31849B"/>
          <w:sz w:val="26"/>
          <w:szCs w:val="26"/>
          <w:lang w:val="en-US"/>
        </w:rPr>
      </w:pPr>
    </w:p>
    <w:sectPr w:rsidR="00B043B9" w:rsidRPr="003C7872" w:rsidSect="00AE3646">
      <w:headerReference w:type="even" r:id="rId17"/>
      <w:headerReference w:type="default" r:id="rId18"/>
      <w:footerReference w:type="even" r:id="rId19"/>
      <w:footerReference w:type="default" r:id="rId20"/>
      <w:headerReference w:type="first" r:id="rId21"/>
      <w:footerReference w:type="first" r:id="rId22"/>
      <w:pgSz w:w="11906" w:h="16838"/>
      <w:pgMar w:top="2977" w:right="1417" w:bottom="2410"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6A3BB" w14:textId="77777777" w:rsidR="000760B5" w:rsidRDefault="000760B5" w:rsidP="00AE3646">
      <w:pPr>
        <w:spacing w:after="0" w:line="240" w:lineRule="auto"/>
      </w:pPr>
      <w:r>
        <w:separator/>
      </w:r>
    </w:p>
  </w:endnote>
  <w:endnote w:type="continuationSeparator" w:id="0">
    <w:p w14:paraId="1D17239B" w14:textId="77777777" w:rsidR="000760B5" w:rsidRDefault="000760B5" w:rsidP="00AE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F545" w14:textId="77777777" w:rsidR="000C0227" w:rsidRDefault="000C0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479931"/>
      <w:docPartObj>
        <w:docPartGallery w:val="Page Numbers (Bottom of Page)"/>
        <w:docPartUnique/>
      </w:docPartObj>
    </w:sdtPr>
    <w:sdtContent>
      <w:sdt>
        <w:sdtPr>
          <w:id w:val="-1705238520"/>
          <w:docPartObj>
            <w:docPartGallery w:val="Page Numbers (Top of Page)"/>
            <w:docPartUnique/>
          </w:docPartObj>
        </w:sdtPr>
        <w:sdtContent>
          <w:p w14:paraId="423C6812" w14:textId="77777777" w:rsidR="000C0227" w:rsidRPr="000C0227" w:rsidRDefault="000C0227">
            <w:pPr>
              <w:pStyle w:val="Footer"/>
            </w:pPr>
            <w:r w:rsidRPr="000C0227">
              <w:t xml:space="preserve">Seite </w:t>
            </w:r>
            <w:r w:rsidRPr="000C0227">
              <w:rPr>
                <w:bCs/>
                <w:sz w:val="24"/>
                <w:szCs w:val="24"/>
              </w:rPr>
              <w:fldChar w:fldCharType="begin"/>
            </w:r>
            <w:r w:rsidRPr="000C0227">
              <w:rPr>
                <w:bCs/>
              </w:rPr>
              <w:instrText>PAGE</w:instrText>
            </w:r>
            <w:r w:rsidRPr="000C0227">
              <w:rPr>
                <w:bCs/>
                <w:sz w:val="24"/>
                <w:szCs w:val="24"/>
              </w:rPr>
              <w:fldChar w:fldCharType="separate"/>
            </w:r>
            <w:r w:rsidRPr="000C0227">
              <w:rPr>
                <w:bCs/>
              </w:rPr>
              <w:t>2</w:t>
            </w:r>
            <w:r w:rsidRPr="000C0227">
              <w:rPr>
                <w:bCs/>
                <w:sz w:val="24"/>
                <w:szCs w:val="24"/>
              </w:rPr>
              <w:fldChar w:fldCharType="end"/>
            </w:r>
            <w:r w:rsidRPr="000C0227">
              <w:t xml:space="preserve"> von </w:t>
            </w:r>
            <w:r w:rsidRPr="000C0227">
              <w:rPr>
                <w:bCs/>
                <w:sz w:val="24"/>
                <w:szCs w:val="24"/>
              </w:rPr>
              <w:fldChar w:fldCharType="begin"/>
            </w:r>
            <w:r w:rsidRPr="000C0227">
              <w:rPr>
                <w:bCs/>
              </w:rPr>
              <w:instrText>NUMPAGES</w:instrText>
            </w:r>
            <w:r w:rsidRPr="000C0227">
              <w:rPr>
                <w:bCs/>
                <w:sz w:val="24"/>
                <w:szCs w:val="24"/>
              </w:rPr>
              <w:fldChar w:fldCharType="separate"/>
            </w:r>
            <w:r w:rsidRPr="000C0227">
              <w:rPr>
                <w:bCs/>
              </w:rPr>
              <w:t>2</w:t>
            </w:r>
            <w:r w:rsidRPr="000C0227">
              <w:rPr>
                <w:bCs/>
                <w:sz w:val="24"/>
                <w:szCs w:val="24"/>
              </w:rPr>
              <w:fldChar w:fldCharType="end"/>
            </w:r>
          </w:p>
        </w:sdtContent>
      </w:sdt>
    </w:sdtContent>
  </w:sdt>
  <w:p w14:paraId="22714D69" w14:textId="77777777" w:rsidR="00AE3646" w:rsidRDefault="00AE3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FB93" w14:textId="77777777" w:rsidR="000C0227" w:rsidRDefault="000C0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ACF88" w14:textId="77777777" w:rsidR="000760B5" w:rsidRDefault="000760B5" w:rsidP="00AE3646">
      <w:pPr>
        <w:spacing w:after="0" w:line="240" w:lineRule="auto"/>
      </w:pPr>
      <w:r>
        <w:separator/>
      </w:r>
    </w:p>
  </w:footnote>
  <w:footnote w:type="continuationSeparator" w:id="0">
    <w:p w14:paraId="53359D16" w14:textId="77777777" w:rsidR="000760B5" w:rsidRDefault="000760B5" w:rsidP="00AE3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6AC4" w14:textId="77777777" w:rsidR="000C0227" w:rsidRDefault="000C0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82C6" w14:textId="77777777" w:rsidR="00AE3646" w:rsidRDefault="00AE3646">
    <w:pPr>
      <w:pStyle w:val="Header"/>
    </w:pPr>
    <w:r>
      <w:rPr>
        <w:noProof/>
      </w:rPr>
      <w:drawing>
        <wp:anchor distT="0" distB="0" distL="114300" distR="114300" simplePos="0" relativeHeight="251658240" behindDoc="0" locked="0" layoutInCell="1" allowOverlap="1" wp14:anchorId="77A10A4B" wp14:editId="7814D2A2">
          <wp:simplePos x="0" y="0"/>
          <wp:positionH relativeFrom="column">
            <wp:posOffset>-899796</wp:posOffset>
          </wp:positionH>
          <wp:positionV relativeFrom="paragraph">
            <wp:posOffset>-449580</wp:posOffset>
          </wp:positionV>
          <wp:extent cx="7542813" cy="1733550"/>
          <wp:effectExtent l="0" t="0" r="1270" b="0"/>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XIS-Kopfzeile.png"/>
                  <pic:cNvPicPr/>
                </pic:nvPicPr>
                <pic:blipFill>
                  <a:blip r:embed="rId1">
                    <a:extLst>
                      <a:ext uri="{28A0092B-C50C-407E-A947-70E740481C1C}">
                        <a14:useLocalDpi xmlns:a14="http://schemas.microsoft.com/office/drawing/2010/main" val="0"/>
                      </a:ext>
                    </a:extLst>
                  </a:blip>
                  <a:stretch>
                    <a:fillRect/>
                  </a:stretch>
                </pic:blipFill>
                <pic:spPr>
                  <a:xfrm>
                    <a:off x="0" y="0"/>
                    <a:ext cx="7550010" cy="173520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F234" w14:textId="77777777" w:rsidR="000C0227" w:rsidRDefault="000C02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15"/>
    <w:rsid w:val="000760B5"/>
    <w:rsid w:val="00083D38"/>
    <w:rsid w:val="000C0227"/>
    <w:rsid w:val="001C7D6D"/>
    <w:rsid w:val="002E1159"/>
    <w:rsid w:val="00327830"/>
    <w:rsid w:val="00371923"/>
    <w:rsid w:val="003C7872"/>
    <w:rsid w:val="003D3510"/>
    <w:rsid w:val="00443436"/>
    <w:rsid w:val="00576B36"/>
    <w:rsid w:val="005B5945"/>
    <w:rsid w:val="00661D9F"/>
    <w:rsid w:val="00817188"/>
    <w:rsid w:val="00987419"/>
    <w:rsid w:val="00A5769B"/>
    <w:rsid w:val="00A57FF5"/>
    <w:rsid w:val="00A61885"/>
    <w:rsid w:val="00AD3828"/>
    <w:rsid w:val="00AD5391"/>
    <w:rsid w:val="00AE3646"/>
    <w:rsid w:val="00B043B9"/>
    <w:rsid w:val="00B92530"/>
    <w:rsid w:val="00CC71ED"/>
    <w:rsid w:val="00D85B60"/>
    <w:rsid w:val="00DF3615"/>
    <w:rsid w:val="00E03C6E"/>
    <w:rsid w:val="00EB19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429F0"/>
  <w15:chartTrackingRefBased/>
  <w15:docId w15:val="{831FB69F-903F-4F4A-A38A-38DB13A4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6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3646"/>
  </w:style>
  <w:style w:type="paragraph" w:styleId="Footer">
    <w:name w:val="footer"/>
    <w:basedOn w:val="Normal"/>
    <w:link w:val="FooterChar"/>
    <w:uiPriority w:val="99"/>
    <w:unhideWhenUsed/>
    <w:rsid w:val="00AE36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3646"/>
  </w:style>
  <w:style w:type="paragraph" w:customStyle="1" w:styleId="CitaviLiteraturverzeichnis">
    <w:name w:val="Citavi Literaturverzeichnis"/>
    <w:uiPriority w:val="99"/>
    <w:rsid w:val="00B043B9"/>
    <w:pPr>
      <w:widowControl w:val="0"/>
      <w:autoSpaceDE w:val="0"/>
      <w:autoSpaceDN w:val="0"/>
      <w:adjustRightInd w:val="0"/>
      <w:spacing w:after="120"/>
    </w:pPr>
    <w:rPr>
      <w:rFonts w:ascii="Calibri" w:eastAsiaTheme="minorEastAsia" w:hAnsi="Calibri" w:cs="Calibri"/>
      <w:szCs w:val="20"/>
      <w:lang w:val="en-US"/>
    </w:rPr>
  </w:style>
  <w:style w:type="character" w:styleId="Hyperlink">
    <w:name w:val="Hyperlink"/>
    <w:basedOn w:val="DefaultParagraphFont"/>
    <w:uiPriority w:val="99"/>
    <w:unhideWhenUsed/>
    <w:rsid w:val="00817188"/>
    <w:rPr>
      <w:color w:val="0563C1" w:themeColor="hyperlink"/>
      <w:u w:val="single"/>
    </w:rPr>
  </w:style>
  <w:style w:type="character" w:styleId="UnresolvedMention">
    <w:name w:val="Unresolved Mention"/>
    <w:basedOn w:val="DefaultParagraphFont"/>
    <w:uiPriority w:val="99"/>
    <w:semiHidden/>
    <w:unhideWhenUsed/>
    <w:rsid w:val="00817188"/>
    <w:rPr>
      <w:color w:val="605E5C"/>
      <w:shd w:val="clear" w:color="auto" w:fill="E1DFDD"/>
    </w:rPr>
  </w:style>
  <w:style w:type="character" w:customStyle="1" w:styleId="wpex-text-sm">
    <w:name w:val="wpex-text-sm"/>
    <w:basedOn w:val="DefaultParagraphFont"/>
    <w:rsid w:val="00371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1414/sei2023.035" TargetMode="External"/><Relationship Id="rId13" Type="http://schemas.openxmlformats.org/officeDocument/2006/relationships/hyperlink" Target="https://doi.org/10.51414/sei2022.038"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doi.org/10.3389/fclim.2023.1038883" TargetMode="External"/><Relationship Id="rId12" Type="http://schemas.openxmlformats.org/officeDocument/2006/relationships/hyperlink" Target="https://doi.org/10.3389/fclim.2023.1037117"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doi.org/10.1175/WCAS-D-21-0014.1"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doi.org/10.3389/fclim.2023.1120421" TargetMode="External"/><Relationship Id="rId11" Type="http://schemas.openxmlformats.org/officeDocument/2006/relationships/hyperlink" Target="https://doi.org/10.51414/sei2022.039"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3389/fclim.2022.909422" TargetMode="External"/><Relationship Id="rId23" Type="http://schemas.openxmlformats.org/officeDocument/2006/relationships/fontTable" Target="fontTable.xml"/><Relationship Id="rId10" Type="http://schemas.openxmlformats.org/officeDocument/2006/relationships/hyperlink" Target="https://doi.org/10.3389/fclim.2022.1019892"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3389/fclim.2022.1019888" TargetMode="External"/><Relationship Id="rId14" Type="http://schemas.openxmlformats.org/officeDocument/2006/relationships/hyperlink" Target="https://doi.org/10.1175/WCAS-D-21-0022.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1918</Words>
  <Characters>10933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Krockenberger, Kathrin Ida</dc:creator>
  <cp:keywords/>
  <dc:description/>
  <cp:lastModifiedBy>Malnaca Maija</cp:lastModifiedBy>
  <cp:revision>2</cp:revision>
  <dcterms:created xsi:type="dcterms:W3CDTF">2024-01-11T10:33:00Z</dcterms:created>
  <dcterms:modified xsi:type="dcterms:W3CDTF">2024-01-11T10:33:00Z</dcterms:modified>
</cp:coreProperties>
</file>